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Светильники под заказ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ViLED СС М4-У-Н-64-350.100.150-4-0-67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Модуль Прожектор 30°, универсальный, 64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5008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350х100х130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1,75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430х110х70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1,95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+50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7360 ÷ 8000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 (концентрированная)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72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Прожекторы изготавливаются в модификациях 64, 96, 128, 256 Вт.  Новые светильники оборудованы оптическим элементом, благодаря которому свет собирается и концентрируется в диапазоне 30 градусов. Новые возможности позволяют сократить потери света и увеличить концентрацию освещения поверхности.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