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08-У-С-24-1194.69.29-4-0-65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Lite микропризма,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1194х69х29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Облегченный светильник Retail Lite представляет собой пластиковый корпус с алюминиевыми крепежными элементами, которые позволяют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Применяется в офисах магазинах и других общественных помещениях.
Мелкий геометрический рисунок дает более равномерное рассеивание, делая свет мягким и комфортным для глаз.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