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08-Р-М-24-1204.73.40-4-0-65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Retail матовый,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6678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Соотношение лм /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Мощность в аварийном режиме,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1204х73х40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 (накладной / подвесной / выносной)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Компактный узкий корпус светильников Retail изготовлен из экструдированного алюминия с анодированным покрытием. По всей длине корпуса проходит универсальный крепежный паз, который позволяет использовать различные типы креплений: подвесное, накладное и крепление на выносных элементах для подсветки поверхности. Светильники возможно соединить в линию или под углом для создания непрерывных световых линий с проходным подключением.
Отлично впишется в интерьер  любого современного помещения как жилого, так и общественного.
Самые высокие показатели равномерности распределения светового потока.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