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03-У-К-36-1190.130.15-4-0-65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Айсберг колотый лед, 36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5951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1190х130х15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0,55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1210х145х110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2,9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Накладной / подвесной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36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 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4910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288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Светодиодные светильники серии "Айсберг" предназначены для освещения помещений с высокой концентрацией влаги и пыли, идеально подходят для промышленных помещений, складов, а также общественных учреждений и бюджетных организаций. 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