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02-У-М-42-590.590.15-4-0-65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матовый, 42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4337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4200 ÷ 4620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216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