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М1-МК-Е-32-130.195.160-4-0-67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Модуль, консоль МК-2, 32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3374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130х195х160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145х170х170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1,35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3680 ÷ 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Л (полуширокая)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10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96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